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34A4" w14:textId="77777777" w:rsidR="00E344B5" w:rsidRDefault="00032892" w:rsidP="00352114">
      <w:pPr>
        <w:spacing w:after="0"/>
        <w:jc w:val="center"/>
        <w:rPr>
          <w:b/>
          <w:bCs/>
          <w:color w:val="7675BB"/>
          <w:sz w:val="32"/>
          <w:szCs w:val="32"/>
        </w:rPr>
      </w:pPr>
      <w:r w:rsidRPr="00E66D07">
        <w:rPr>
          <w:b/>
          <w:bCs/>
          <w:color w:val="7675BB"/>
          <w:sz w:val="32"/>
          <w:szCs w:val="32"/>
        </w:rPr>
        <w:t xml:space="preserve">OMNES Education rejoint </w:t>
      </w:r>
      <w:proofErr w:type="spellStart"/>
      <w:r w:rsidRPr="00E66D07">
        <w:rPr>
          <w:b/>
          <w:bCs/>
          <w:color w:val="7675BB"/>
          <w:sz w:val="32"/>
          <w:szCs w:val="32"/>
        </w:rPr>
        <w:t>ProMilès</w:t>
      </w:r>
      <w:proofErr w:type="spellEnd"/>
      <w:r w:rsidRPr="00E66D07">
        <w:rPr>
          <w:b/>
          <w:bCs/>
          <w:color w:val="7675BB"/>
          <w:sz w:val="32"/>
          <w:szCs w:val="32"/>
        </w:rPr>
        <w:t xml:space="preserve"> et devient </w:t>
      </w:r>
    </w:p>
    <w:p w14:paraId="01FB2FB8" w14:textId="37BB1B75" w:rsidR="00352114" w:rsidRPr="00E66D07" w:rsidRDefault="00032892" w:rsidP="00352114">
      <w:pPr>
        <w:spacing w:after="0"/>
        <w:jc w:val="center"/>
        <w:rPr>
          <w:b/>
          <w:bCs/>
          <w:color w:val="7675BB"/>
          <w:sz w:val="32"/>
          <w:szCs w:val="32"/>
        </w:rPr>
      </w:pPr>
      <w:proofErr w:type="gramStart"/>
      <w:r w:rsidRPr="00E66D07">
        <w:rPr>
          <w:b/>
          <w:bCs/>
          <w:color w:val="7675BB"/>
          <w:sz w:val="32"/>
          <w:szCs w:val="32"/>
        </w:rPr>
        <w:t>le</w:t>
      </w:r>
      <w:proofErr w:type="gramEnd"/>
      <w:r w:rsidR="00E344B5">
        <w:rPr>
          <w:b/>
          <w:bCs/>
          <w:color w:val="7675BB"/>
          <w:sz w:val="32"/>
          <w:szCs w:val="32"/>
        </w:rPr>
        <w:t xml:space="preserve"> 1er</w:t>
      </w:r>
      <w:r w:rsidRPr="00E66D07">
        <w:rPr>
          <w:b/>
          <w:bCs/>
          <w:color w:val="7675BB"/>
          <w:sz w:val="32"/>
          <w:szCs w:val="32"/>
        </w:rPr>
        <w:t xml:space="preserve"> groupe d’enseignement supérieur à s’engager </w:t>
      </w:r>
      <w:r w:rsidR="00904691" w:rsidRPr="00E66D07">
        <w:rPr>
          <w:b/>
          <w:bCs/>
          <w:color w:val="7675BB"/>
          <w:sz w:val="32"/>
          <w:szCs w:val="32"/>
        </w:rPr>
        <w:br/>
      </w:r>
      <w:r w:rsidRPr="00E66D07">
        <w:rPr>
          <w:b/>
          <w:bCs/>
          <w:color w:val="7675BB"/>
          <w:sz w:val="32"/>
          <w:szCs w:val="32"/>
        </w:rPr>
        <w:t>pour la diffusion de l’esprit de défense</w:t>
      </w:r>
    </w:p>
    <w:p w14:paraId="07E9D697" w14:textId="7182FB9E" w:rsidR="00E127C4" w:rsidRDefault="00032892" w:rsidP="00352114">
      <w:pPr>
        <w:spacing w:after="0"/>
        <w:jc w:val="center"/>
        <w:rPr>
          <w:i/>
          <w:iCs/>
          <w:color w:val="7675BB"/>
        </w:rPr>
      </w:pPr>
      <w:r w:rsidRPr="00FB541D">
        <w:rPr>
          <w:i/>
          <w:iCs/>
          <w:color w:val="7675BB"/>
        </w:rPr>
        <w:t xml:space="preserve">Un engagement renforcé en faveur de la souveraineté, </w:t>
      </w:r>
      <w:r w:rsidR="00904691" w:rsidRPr="00FB541D">
        <w:rPr>
          <w:i/>
          <w:iCs/>
          <w:color w:val="7675BB"/>
        </w:rPr>
        <w:br/>
      </w:r>
      <w:r w:rsidRPr="00FB541D">
        <w:rPr>
          <w:i/>
          <w:iCs/>
          <w:color w:val="7675BB"/>
        </w:rPr>
        <w:t xml:space="preserve">de la cybersécurité et de la formation des talents nécessaires </w:t>
      </w:r>
      <w:r w:rsidR="00904691" w:rsidRPr="00FB541D">
        <w:rPr>
          <w:i/>
          <w:iCs/>
          <w:color w:val="7675BB"/>
        </w:rPr>
        <w:br/>
      </w:r>
      <w:r w:rsidRPr="00FB541D">
        <w:rPr>
          <w:i/>
          <w:iCs/>
          <w:color w:val="7675BB"/>
        </w:rPr>
        <w:t>aux mutations stratégiques, technologiques et industrielles</w:t>
      </w:r>
    </w:p>
    <w:p w14:paraId="6A35DDCE" w14:textId="77777777" w:rsidR="00FB541D" w:rsidRPr="00726FAC" w:rsidRDefault="00FB541D" w:rsidP="00352114">
      <w:pPr>
        <w:spacing w:after="0"/>
        <w:jc w:val="center"/>
        <w:rPr>
          <w:rFonts w:cs="Calibri"/>
          <w:i/>
          <w:iCs/>
          <w:sz w:val="6"/>
          <w:szCs w:val="6"/>
        </w:rPr>
      </w:pPr>
    </w:p>
    <w:p w14:paraId="3C2D74F1" w14:textId="3BECE142" w:rsidR="00E127C4" w:rsidRPr="00CC1E62" w:rsidRDefault="002A1710" w:rsidP="00E127C4">
      <w:pPr>
        <w:jc w:val="both"/>
        <w:rPr>
          <w:rFonts w:cs="Calibri"/>
          <w:b/>
          <w:bCs/>
          <w:i/>
          <w:iCs/>
          <w:sz w:val="21"/>
          <w:szCs w:val="21"/>
        </w:rPr>
      </w:pPr>
      <w:r w:rsidRPr="00CC1E62">
        <w:rPr>
          <w:rFonts w:cs="Calibri"/>
          <w:b/>
          <w:bCs/>
          <w:i/>
          <w:iCs/>
          <w:sz w:val="21"/>
          <w:szCs w:val="21"/>
        </w:rPr>
        <w:t>À l’occasion de la signature d</w:t>
      </w:r>
      <w:r w:rsidR="005F5E75">
        <w:rPr>
          <w:rFonts w:cs="Calibri"/>
          <w:b/>
          <w:bCs/>
          <w:i/>
          <w:iCs/>
          <w:sz w:val="21"/>
          <w:szCs w:val="21"/>
        </w:rPr>
        <w:t xml:space="preserve">u Manifeste </w:t>
      </w:r>
      <w:proofErr w:type="spellStart"/>
      <w:r w:rsidRPr="00CC1E62">
        <w:rPr>
          <w:rFonts w:cs="Calibri"/>
          <w:b/>
          <w:bCs/>
          <w:i/>
          <w:iCs/>
          <w:sz w:val="21"/>
          <w:szCs w:val="21"/>
        </w:rPr>
        <w:t>ProMilès</w:t>
      </w:r>
      <w:proofErr w:type="spellEnd"/>
      <w:r w:rsidRPr="00CC1E62">
        <w:rPr>
          <w:rFonts w:cs="Calibri"/>
          <w:b/>
          <w:bCs/>
          <w:i/>
          <w:iCs/>
          <w:sz w:val="21"/>
          <w:szCs w:val="21"/>
        </w:rPr>
        <w:t xml:space="preserve"> </w:t>
      </w:r>
      <w:r w:rsidR="00E344B5" w:rsidRPr="00CC1E62">
        <w:rPr>
          <w:rFonts w:cs="Calibri"/>
          <w:b/>
          <w:bCs/>
          <w:i/>
          <w:iCs/>
          <w:sz w:val="21"/>
          <w:szCs w:val="21"/>
        </w:rPr>
        <w:t>du</w:t>
      </w:r>
      <w:r w:rsidRPr="00CC1E62">
        <w:rPr>
          <w:rFonts w:cs="Calibri"/>
          <w:b/>
          <w:bCs/>
          <w:i/>
          <w:iCs/>
          <w:sz w:val="21"/>
          <w:szCs w:val="21"/>
        </w:rPr>
        <w:t xml:space="preserve"> 2 juin </w:t>
      </w:r>
      <w:r w:rsidR="00352114" w:rsidRPr="00CC1E62">
        <w:rPr>
          <w:rFonts w:cs="Calibri"/>
          <w:b/>
          <w:bCs/>
          <w:i/>
          <w:iCs/>
          <w:sz w:val="21"/>
          <w:szCs w:val="21"/>
        </w:rPr>
        <w:t>à l’Hôtel des</w:t>
      </w:r>
      <w:r w:rsidRPr="00CC1E62">
        <w:rPr>
          <w:rFonts w:cs="Calibri"/>
          <w:b/>
          <w:bCs/>
          <w:i/>
          <w:iCs/>
          <w:sz w:val="21"/>
          <w:szCs w:val="21"/>
        </w:rPr>
        <w:t xml:space="preserve"> Invalides, OMNES Education devient le </w:t>
      </w:r>
      <w:r w:rsidR="00E344B5" w:rsidRPr="00CC1E62">
        <w:rPr>
          <w:rFonts w:cs="Calibri"/>
          <w:b/>
          <w:bCs/>
          <w:i/>
          <w:iCs/>
          <w:sz w:val="21"/>
          <w:szCs w:val="21"/>
        </w:rPr>
        <w:t>1er</w:t>
      </w:r>
      <w:r w:rsidRPr="00CC1E62">
        <w:rPr>
          <w:rFonts w:cs="Calibri"/>
          <w:b/>
          <w:bCs/>
          <w:i/>
          <w:iCs/>
          <w:sz w:val="21"/>
          <w:szCs w:val="21"/>
        </w:rPr>
        <w:t xml:space="preserve"> groupe d’enseignement supérieur à rejoindre cette initiative portée par le MEDEF et l’état-major des armées, marquant ainsi l’entrée de l’enseignement supérieur dans une dynamique jusqu’ici portée par les grands acteurs industriels et technologiques. </w:t>
      </w:r>
      <w:r w:rsidR="00E127C4" w:rsidRPr="00CC1E62">
        <w:rPr>
          <w:rFonts w:cs="Calibri"/>
          <w:b/>
          <w:bCs/>
          <w:i/>
          <w:iCs/>
          <w:sz w:val="21"/>
          <w:szCs w:val="21"/>
        </w:rPr>
        <w:t>Ce manifeste, lancé en 2022, réunit les acteurs économiques volontaires souhaitant contribuer à la diffusion de l’esprit de défense et au renforcement de la cohésion nationale, dans une logique d’acculturation réciproque entre armées, entreprises et monde civil. Il rassemble déjà plusieurs grands groupes industriels et technologiques tels qu’Airbus, Dassault Aviation, Michelin, Thales, Schneider Electric, Société Générale ou Capgemini.</w:t>
      </w:r>
      <w:r w:rsidR="00F46138" w:rsidRPr="00CC1E62">
        <w:rPr>
          <w:rFonts w:cs="Calibri"/>
          <w:b/>
          <w:bCs/>
          <w:i/>
          <w:iCs/>
          <w:sz w:val="21"/>
          <w:szCs w:val="21"/>
        </w:rPr>
        <w:t xml:space="preserve"> </w:t>
      </w:r>
      <w:r w:rsidR="00E127C4" w:rsidRPr="00CC1E62">
        <w:rPr>
          <w:rFonts w:cs="Calibri"/>
          <w:b/>
          <w:bCs/>
          <w:i/>
          <w:iCs/>
          <w:sz w:val="21"/>
          <w:szCs w:val="21"/>
        </w:rPr>
        <w:t>En rejoignant cette démarche, OMNES Education affirme sa volonté de contribuer à la formation des compétences nécessaires aux enjeux croissants de souveraineté numérique, de cybersécurité</w:t>
      </w:r>
      <w:r w:rsidR="00FB541D" w:rsidRPr="00CC1E62">
        <w:rPr>
          <w:rFonts w:cs="Calibri"/>
          <w:b/>
          <w:bCs/>
          <w:i/>
          <w:iCs/>
          <w:sz w:val="21"/>
          <w:szCs w:val="21"/>
        </w:rPr>
        <w:t xml:space="preserve"> </w:t>
      </w:r>
      <w:r w:rsidR="00E127C4" w:rsidRPr="00CC1E62">
        <w:rPr>
          <w:rFonts w:cs="Calibri"/>
          <w:b/>
          <w:bCs/>
          <w:i/>
          <w:iCs/>
          <w:sz w:val="21"/>
          <w:szCs w:val="21"/>
        </w:rPr>
        <w:t>et d’autonomie stratégique.</w:t>
      </w:r>
    </w:p>
    <w:p w14:paraId="70EEA215" w14:textId="5C74A870" w:rsidR="00E127C4" w:rsidRPr="00481DA1" w:rsidRDefault="00E66D07" w:rsidP="00E127C4">
      <w:pPr>
        <w:jc w:val="both"/>
        <w:rPr>
          <w:rFonts w:cs="Calibri"/>
          <w:b/>
          <w:bCs/>
          <w:sz w:val="22"/>
          <w:szCs w:val="22"/>
        </w:rPr>
      </w:pPr>
      <w:r w:rsidRPr="00481DA1">
        <w:rPr>
          <w:b/>
          <w:bCs/>
          <w:color w:val="7675BC"/>
          <w:sz w:val="22"/>
          <w:szCs w:val="22"/>
        </w:rPr>
        <w:t>Former les talents capables de répondre aux nouveaux défis de souveraineté</w:t>
      </w:r>
    </w:p>
    <w:p w14:paraId="2842B20F" w14:textId="4F8D0B78" w:rsidR="000026D0" w:rsidRPr="00CC1E62" w:rsidRDefault="000026D0" w:rsidP="000026D0">
      <w:pPr>
        <w:jc w:val="both"/>
        <w:rPr>
          <w:rFonts w:cs="Calibri"/>
          <w:sz w:val="21"/>
          <w:szCs w:val="21"/>
        </w:rPr>
      </w:pPr>
      <w:r w:rsidRPr="00CC1E62">
        <w:rPr>
          <w:rFonts w:cs="Calibri"/>
          <w:sz w:val="21"/>
          <w:szCs w:val="21"/>
        </w:rPr>
        <w:t>« </w:t>
      </w:r>
      <w:r w:rsidRPr="00CC1E62">
        <w:rPr>
          <w:rFonts w:cs="Calibri"/>
          <w:i/>
          <w:iCs/>
          <w:sz w:val="21"/>
          <w:szCs w:val="21"/>
        </w:rPr>
        <w:t xml:space="preserve">Cette signature intervient dans un contexte marqué par une mobilisation nationale renforcée autour de la base industrielle et technologique de défense. À l’heure où les besoins en compétences critiques s’intensifient, le rôle de l’enseignement supérieur devient stratégique pour préparer les futurs ingénieurs, experts cyber, analystes géopolitiques, spécialistes de la </w:t>
      </w:r>
      <w:proofErr w:type="spellStart"/>
      <w:r w:rsidRPr="00CC1E62">
        <w:rPr>
          <w:rFonts w:cs="Calibri"/>
          <w:i/>
          <w:iCs/>
          <w:sz w:val="21"/>
          <w:szCs w:val="21"/>
        </w:rPr>
        <w:t>supply</w:t>
      </w:r>
      <w:proofErr w:type="spellEnd"/>
      <w:r w:rsidRPr="00CC1E62">
        <w:rPr>
          <w:rFonts w:cs="Calibri"/>
          <w:i/>
          <w:iCs/>
          <w:sz w:val="21"/>
          <w:szCs w:val="21"/>
        </w:rPr>
        <w:t xml:space="preserve"> </w:t>
      </w:r>
      <w:proofErr w:type="spellStart"/>
      <w:r w:rsidRPr="00CC1E62">
        <w:rPr>
          <w:rFonts w:cs="Calibri"/>
          <w:i/>
          <w:iCs/>
          <w:sz w:val="21"/>
          <w:szCs w:val="21"/>
        </w:rPr>
        <w:t>chain</w:t>
      </w:r>
      <w:proofErr w:type="spellEnd"/>
      <w:r w:rsidRPr="00CC1E62">
        <w:rPr>
          <w:rFonts w:cs="Calibri"/>
          <w:i/>
          <w:iCs/>
          <w:sz w:val="21"/>
          <w:szCs w:val="21"/>
        </w:rPr>
        <w:t xml:space="preserve"> et managers capables d’accompagner ces transformations</w:t>
      </w:r>
      <w:r w:rsidRPr="00CC1E62">
        <w:rPr>
          <w:rFonts w:cs="Calibri"/>
          <w:sz w:val="21"/>
          <w:szCs w:val="21"/>
        </w:rPr>
        <w:t xml:space="preserve"> » précise Marc-Henri Desportes, </w:t>
      </w:r>
      <w:r w:rsidR="00F516F4" w:rsidRPr="00CC1E62">
        <w:rPr>
          <w:rFonts w:cs="Calibri"/>
          <w:sz w:val="21"/>
          <w:szCs w:val="21"/>
        </w:rPr>
        <w:t>P</w:t>
      </w:r>
      <w:r w:rsidRPr="00CC1E62">
        <w:rPr>
          <w:rFonts w:cs="Calibri"/>
          <w:sz w:val="21"/>
          <w:szCs w:val="21"/>
        </w:rPr>
        <w:t>résident exécutif d’OMNES Education.</w:t>
      </w:r>
    </w:p>
    <w:p w14:paraId="601B0F05" w14:textId="5C613695" w:rsidR="000026D0" w:rsidRPr="00CC1E62" w:rsidRDefault="00E127C4" w:rsidP="000026D0">
      <w:pPr>
        <w:jc w:val="both"/>
        <w:rPr>
          <w:rFonts w:cs="Calibri"/>
          <w:sz w:val="21"/>
          <w:szCs w:val="21"/>
        </w:rPr>
      </w:pPr>
      <w:r w:rsidRPr="00CC1E62">
        <w:rPr>
          <w:rFonts w:cs="Calibri"/>
          <w:sz w:val="21"/>
          <w:szCs w:val="21"/>
        </w:rPr>
        <w:t>La signature d</w:t>
      </w:r>
      <w:r w:rsidR="00BC17B0">
        <w:rPr>
          <w:rFonts w:cs="Calibri"/>
          <w:sz w:val="21"/>
          <w:szCs w:val="21"/>
        </w:rPr>
        <w:t>u Manifeste</w:t>
      </w:r>
      <w:r w:rsidRPr="00CC1E62">
        <w:rPr>
          <w:rFonts w:cs="Calibri"/>
          <w:sz w:val="21"/>
          <w:szCs w:val="21"/>
        </w:rPr>
        <w:t xml:space="preserve"> </w:t>
      </w:r>
      <w:proofErr w:type="spellStart"/>
      <w:r w:rsidRPr="00CC1E62">
        <w:rPr>
          <w:rFonts w:cs="Calibri"/>
          <w:sz w:val="21"/>
          <w:szCs w:val="21"/>
        </w:rPr>
        <w:t>ProMilès</w:t>
      </w:r>
      <w:proofErr w:type="spellEnd"/>
      <w:r w:rsidRPr="00CC1E62">
        <w:rPr>
          <w:rFonts w:cs="Calibri"/>
          <w:sz w:val="21"/>
          <w:szCs w:val="21"/>
        </w:rPr>
        <w:t xml:space="preserve"> s’inscrit dans une conviction portée par OMNES Education : les enjeux de défense ne relèvent plus uniquement des institutions militaires ou des industriels spécialisés.</w:t>
      </w:r>
      <w:r w:rsidR="00F46138" w:rsidRPr="00CC1E62">
        <w:rPr>
          <w:rFonts w:cs="Calibri"/>
          <w:sz w:val="21"/>
          <w:szCs w:val="21"/>
        </w:rPr>
        <w:t xml:space="preserve"> </w:t>
      </w:r>
      <w:r w:rsidRPr="00CC1E62">
        <w:rPr>
          <w:rFonts w:cs="Calibri"/>
          <w:sz w:val="21"/>
          <w:szCs w:val="21"/>
        </w:rPr>
        <w:t>Ils mobilisent désormais des compétences pluridisciplinaires touchant à l’intelligence artificielle, à la cybersécurité, à la géopolitique, à la gestion de crise, à l’analyse des risques, aux chaînes d’approvisionnement critiques, au management de l’innovation et à la résilience organisationnelle.</w:t>
      </w:r>
      <w:r w:rsidR="00F46138" w:rsidRPr="00CC1E62">
        <w:rPr>
          <w:rFonts w:cs="Calibri"/>
          <w:sz w:val="21"/>
          <w:szCs w:val="21"/>
        </w:rPr>
        <w:t xml:space="preserve"> </w:t>
      </w:r>
      <w:r w:rsidR="00A83F25" w:rsidRPr="00CC1E62">
        <w:rPr>
          <w:rFonts w:cs="Calibri"/>
          <w:sz w:val="21"/>
          <w:szCs w:val="21"/>
        </w:rPr>
        <w:t>Cette réalité conduit les établissements d’enseignement supérieur à adapter leurs approches pédagogiques afin de préparer les étudiants à comprendre ces transformations et à y contribuer.</w:t>
      </w:r>
      <w:r w:rsidR="000026D0" w:rsidRPr="00CC1E62">
        <w:rPr>
          <w:rFonts w:cs="Calibri"/>
          <w:sz w:val="21"/>
          <w:szCs w:val="21"/>
        </w:rPr>
        <w:t xml:space="preserve"> </w:t>
      </w:r>
    </w:p>
    <w:p w14:paraId="5FD3C0F3" w14:textId="01A989E0" w:rsidR="000026D0" w:rsidRPr="00CC1E62" w:rsidRDefault="000026D0" w:rsidP="000026D0">
      <w:pPr>
        <w:jc w:val="both"/>
        <w:rPr>
          <w:rFonts w:cs="Calibri"/>
          <w:sz w:val="21"/>
          <w:szCs w:val="21"/>
        </w:rPr>
      </w:pPr>
      <w:r w:rsidRPr="00CC1E62">
        <w:rPr>
          <w:rFonts w:cs="Calibri"/>
          <w:sz w:val="21"/>
          <w:szCs w:val="21"/>
        </w:rPr>
        <w:t xml:space="preserve">Plus de 300 étudiants du groupe sont déjà engagés dans des initiatives liées à l’esprit de défense et plus de 800 ont manifesté cette année un intérêt spécifique pour les secteurs de la défense, de la souveraineté et de la cybersécurité. </w:t>
      </w:r>
      <w:r w:rsidRPr="00CC1E62">
        <w:rPr>
          <w:rFonts w:cs="Calibri"/>
          <w:b/>
          <w:bCs/>
          <w:sz w:val="21"/>
          <w:szCs w:val="21"/>
        </w:rPr>
        <w:t>À horizon 2030, OMNES Education se fixe pour objectif d’acculturer l’ensemble de ses 40 000 étudiants à ces enjeux, toutes filières confondues</w:t>
      </w:r>
      <w:r w:rsidRPr="00CC1E62">
        <w:rPr>
          <w:rFonts w:cs="Calibri"/>
          <w:sz w:val="21"/>
          <w:szCs w:val="21"/>
        </w:rPr>
        <w:t>.</w:t>
      </w:r>
      <w:r w:rsidRPr="00CC1E62">
        <w:rPr>
          <w:sz w:val="21"/>
          <w:szCs w:val="21"/>
        </w:rPr>
        <w:t xml:space="preserve"> </w:t>
      </w:r>
      <w:r w:rsidRPr="00CC1E62">
        <w:rPr>
          <w:rFonts w:cs="Calibri"/>
          <w:sz w:val="21"/>
          <w:szCs w:val="21"/>
        </w:rPr>
        <w:t xml:space="preserve">Parmi eux, plus de 2 000 d’entre eux sont en apprentissage ou en stage dans les secteurs de la défense et de la sécurité, témoignant de l’ancrage opérationnel du groupe sur ces enjeux. </w:t>
      </w:r>
    </w:p>
    <w:p w14:paraId="79822C6E" w14:textId="77777777" w:rsidR="00CC1E62" w:rsidRPr="00CC1E62" w:rsidRDefault="00CC1E62" w:rsidP="001967E9">
      <w:pPr>
        <w:spacing w:after="0"/>
        <w:jc w:val="both"/>
        <w:rPr>
          <w:b/>
          <w:bCs/>
          <w:color w:val="7675BC"/>
          <w:sz w:val="21"/>
          <w:szCs w:val="21"/>
        </w:rPr>
      </w:pPr>
    </w:p>
    <w:p w14:paraId="7558A50B" w14:textId="77777777" w:rsidR="00CC1E62" w:rsidRDefault="00CC1E62" w:rsidP="001967E9">
      <w:pPr>
        <w:spacing w:after="0"/>
        <w:jc w:val="both"/>
        <w:rPr>
          <w:b/>
          <w:bCs/>
          <w:color w:val="7675BC"/>
          <w:sz w:val="21"/>
          <w:szCs w:val="21"/>
        </w:rPr>
      </w:pPr>
    </w:p>
    <w:p w14:paraId="4C5B46ED" w14:textId="77777777" w:rsidR="00CC1E62" w:rsidRDefault="00CC1E62" w:rsidP="001967E9">
      <w:pPr>
        <w:spacing w:after="0"/>
        <w:jc w:val="both"/>
        <w:rPr>
          <w:b/>
          <w:bCs/>
          <w:color w:val="7675BC"/>
          <w:sz w:val="21"/>
          <w:szCs w:val="21"/>
        </w:rPr>
      </w:pPr>
    </w:p>
    <w:p w14:paraId="3D3881B5" w14:textId="77777777" w:rsidR="00CC1E62" w:rsidRDefault="00CC1E62" w:rsidP="001967E9">
      <w:pPr>
        <w:spacing w:after="0"/>
        <w:jc w:val="both"/>
        <w:rPr>
          <w:b/>
          <w:bCs/>
          <w:color w:val="7675BC"/>
          <w:sz w:val="21"/>
          <w:szCs w:val="21"/>
        </w:rPr>
      </w:pPr>
    </w:p>
    <w:p w14:paraId="42705D3A" w14:textId="64BCE20A" w:rsidR="00B6347E" w:rsidRPr="00481DA1" w:rsidRDefault="00B6347E" w:rsidP="001967E9">
      <w:pPr>
        <w:spacing w:after="0"/>
        <w:jc w:val="both"/>
        <w:rPr>
          <w:rFonts w:cs="Calibri"/>
          <w:b/>
          <w:bCs/>
          <w:sz w:val="22"/>
          <w:szCs w:val="22"/>
        </w:rPr>
      </w:pPr>
      <w:r w:rsidRPr="00481DA1">
        <w:rPr>
          <w:b/>
          <w:bCs/>
          <w:color w:val="7675BC"/>
          <w:sz w:val="22"/>
          <w:szCs w:val="22"/>
        </w:rPr>
        <w:lastRenderedPageBreak/>
        <w:t>Un engagement déjà concret dans plusieurs écoles du groupe</w:t>
      </w:r>
    </w:p>
    <w:p w14:paraId="72D4EA41" w14:textId="193C19CA" w:rsidR="00B6334E" w:rsidRPr="00CC1E62" w:rsidRDefault="00B217A6" w:rsidP="001967E9">
      <w:pPr>
        <w:spacing w:after="0"/>
        <w:jc w:val="both"/>
        <w:rPr>
          <w:rFonts w:cs="Calibri"/>
          <w:sz w:val="21"/>
          <w:szCs w:val="21"/>
        </w:rPr>
      </w:pPr>
      <w:r w:rsidRPr="00CC1E62">
        <w:rPr>
          <w:rFonts w:cs="Calibri"/>
          <w:sz w:val="21"/>
          <w:szCs w:val="21"/>
        </w:rPr>
        <w:t xml:space="preserve">Au sein du groupe </w:t>
      </w:r>
      <w:r w:rsidR="00A83F25" w:rsidRPr="00CC1E62">
        <w:rPr>
          <w:rFonts w:cs="Calibri"/>
          <w:sz w:val="21"/>
          <w:szCs w:val="21"/>
        </w:rPr>
        <w:t xml:space="preserve">OMNES Education, cette dynamique se traduit déjà par le développement d’initiatives pédagogiques mobilisant des mises en situation, des projets appliqués, des exercices immersifs et des collaborations avec des acteurs institutionnels et économiques autour des enjeux de défense, de cybersécurité et de souveraineté. La signature </w:t>
      </w:r>
      <w:proofErr w:type="spellStart"/>
      <w:r w:rsidR="00A83F25" w:rsidRPr="00CC1E62">
        <w:rPr>
          <w:rFonts w:cs="Calibri"/>
          <w:sz w:val="21"/>
          <w:szCs w:val="21"/>
        </w:rPr>
        <w:t>d</w:t>
      </w:r>
      <w:r w:rsidR="00726FAC">
        <w:rPr>
          <w:rFonts w:cs="Calibri"/>
          <w:sz w:val="21"/>
          <w:szCs w:val="21"/>
        </w:rPr>
        <w:t>e</w:t>
      </w:r>
      <w:r w:rsidR="00A83F25" w:rsidRPr="00CC1E62">
        <w:rPr>
          <w:rFonts w:cs="Calibri"/>
          <w:sz w:val="21"/>
          <w:szCs w:val="21"/>
        </w:rPr>
        <w:t>ProMilès</w:t>
      </w:r>
      <w:proofErr w:type="spellEnd"/>
      <w:r w:rsidR="00A83F25" w:rsidRPr="00CC1E62">
        <w:rPr>
          <w:rFonts w:cs="Calibri"/>
          <w:sz w:val="21"/>
          <w:szCs w:val="21"/>
        </w:rPr>
        <w:t xml:space="preserve"> vient formaliser cette dynam</w:t>
      </w:r>
      <w:r w:rsidR="00920EF4" w:rsidRPr="00CC1E62">
        <w:rPr>
          <w:rFonts w:cs="Calibri"/>
          <w:sz w:val="21"/>
          <w:szCs w:val="21"/>
        </w:rPr>
        <w:t xml:space="preserve">ique </w:t>
      </w:r>
      <w:r w:rsidR="00B6334E" w:rsidRPr="00CC1E62">
        <w:rPr>
          <w:rFonts w:cs="Calibri"/>
          <w:sz w:val="21"/>
          <w:szCs w:val="21"/>
        </w:rPr>
        <w:t xml:space="preserve">déjà engagée au sein de plusieurs établissements du groupe, en lien avec les grands bassins industriels stratégiques de défense dans lesquels </w:t>
      </w:r>
      <w:r w:rsidR="004E25F1" w:rsidRPr="00CC1E62">
        <w:rPr>
          <w:rFonts w:cs="Calibri"/>
          <w:sz w:val="21"/>
          <w:szCs w:val="21"/>
        </w:rPr>
        <w:t xml:space="preserve">les écoles du groupe </w:t>
      </w:r>
      <w:r w:rsidR="00B6334E" w:rsidRPr="00CC1E62">
        <w:rPr>
          <w:rFonts w:cs="Calibri"/>
          <w:sz w:val="21"/>
          <w:szCs w:val="21"/>
        </w:rPr>
        <w:t xml:space="preserve">OMNES Education </w:t>
      </w:r>
      <w:r w:rsidR="004E25F1" w:rsidRPr="00CC1E62">
        <w:rPr>
          <w:rFonts w:cs="Calibri"/>
          <w:sz w:val="21"/>
          <w:szCs w:val="21"/>
        </w:rPr>
        <w:t>sont implantées</w:t>
      </w:r>
      <w:r w:rsidR="00B6334E" w:rsidRPr="00CC1E62">
        <w:rPr>
          <w:rFonts w:cs="Calibri"/>
          <w:sz w:val="21"/>
          <w:szCs w:val="21"/>
        </w:rPr>
        <w:t xml:space="preserve"> (Île-de-France, Toulouse, Bordeaux, Rennes, Marseille, Lyon).</w:t>
      </w:r>
    </w:p>
    <w:p w14:paraId="48982818" w14:textId="77777777" w:rsidR="00533258" w:rsidRPr="00952378" w:rsidRDefault="00533258" w:rsidP="001967E9">
      <w:pPr>
        <w:spacing w:after="0"/>
        <w:jc w:val="both"/>
        <w:rPr>
          <w:rFonts w:cs="Calibri"/>
          <w:sz w:val="8"/>
          <w:szCs w:val="8"/>
        </w:rPr>
      </w:pPr>
    </w:p>
    <w:p w14:paraId="63EC61D1" w14:textId="6F630DCF" w:rsidR="00E127C4" w:rsidRPr="00CC1E62" w:rsidRDefault="00E127C4" w:rsidP="00AB4CE2">
      <w:pPr>
        <w:pStyle w:val="Paragraphedeliste"/>
        <w:numPr>
          <w:ilvl w:val="0"/>
          <w:numId w:val="2"/>
        </w:numPr>
        <w:spacing w:after="0"/>
        <w:jc w:val="both"/>
        <w:rPr>
          <w:rFonts w:cs="Calibri"/>
          <w:b/>
          <w:bCs/>
          <w:sz w:val="21"/>
          <w:szCs w:val="21"/>
        </w:rPr>
      </w:pPr>
      <w:r w:rsidRPr="00CC1E62">
        <w:rPr>
          <w:rFonts w:cs="Calibri"/>
          <w:b/>
          <w:bCs/>
          <w:sz w:val="21"/>
          <w:szCs w:val="21"/>
        </w:rPr>
        <w:t>L’</w:t>
      </w:r>
      <w:hyperlink r:id="rId7" w:history="1">
        <w:r w:rsidRPr="00CC1E62">
          <w:rPr>
            <w:rStyle w:val="Lienhypertexte"/>
            <w:rFonts w:cs="Calibri"/>
            <w:b/>
            <w:bCs/>
            <w:sz w:val="21"/>
            <w:szCs w:val="21"/>
          </w:rPr>
          <w:t>ECE</w:t>
        </w:r>
      </w:hyperlink>
      <w:r w:rsidR="00F46138" w:rsidRPr="00CC1E62">
        <w:rPr>
          <w:rFonts w:cs="Calibri"/>
          <w:b/>
          <w:bCs/>
          <w:sz w:val="21"/>
          <w:szCs w:val="21"/>
        </w:rPr>
        <w:t>, la Grande Ecole de l’ingénierie numérique</w:t>
      </w:r>
      <w:r w:rsidRPr="00CC1E62">
        <w:rPr>
          <w:rFonts w:cs="Calibri"/>
          <w:b/>
          <w:bCs/>
          <w:sz w:val="21"/>
          <w:szCs w:val="21"/>
        </w:rPr>
        <w:t xml:space="preserve"> : former les ingénieurs des technologies critiques</w:t>
      </w:r>
    </w:p>
    <w:p w14:paraId="60022671" w14:textId="2CFC0193" w:rsidR="00E127C4" w:rsidRPr="00CC1E62" w:rsidRDefault="00E127C4" w:rsidP="00AB4CE2">
      <w:pPr>
        <w:spacing w:after="0"/>
        <w:jc w:val="both"/>
        <w:rPr>
          <w:rFonts w:cs="Calibri"/>
          <w:sz w:val="21"/>
          <w:szCs w:val="21"/>
        </w:rPr>
      </w:pPr>
      <w:r w:rsidRPr="00CC1E62">
        <w:rPr>
          <w:rFonts w:cs="Calibri"/>
          <w:sz w:val="21"/>
          <w:szCs w:val="21"/>
        </w:rPr>
        <w:t xml:space="preserve">Historiquement liée aux enjeux de technologies </w:t>
      </w:r>
      <w:r w:rsidR="00FA4780" w:rsidRPr="00CC1E62">
        <w:rPr>
          <w:rFonts w:cs="Calibri"/>
          <w:sz w:val="21"/>
          <w:szCs w:val="21"/>
        </w:rPr>
        <w:t>clés</w:t>
      </w:r>
      <w:r w:rsidRPr="00CC1E62">
        <w:rPr>
          <w:rFonts w:cs="Calibri"/>
          <w:sz w:val="21"/>
          <w:szCs w:val="21"/>
        </w:rPr>
        <w:t xml:space="preserve"> depuis sa création en 1919 autour des radio</w:t>
      </w:r>
      <w:r w:rsidR="00934166">
        <w:rPr>
          <w:rFonts w:cs="Calibri"/>
          <w:sz w:val="21"/>
          <w:szCs w:val="21"/>
        </w:rPr>
        <w:t>-</w:t>
      </w:r>
      <w:r w:rsidRPr="00CC1E62">
        <w:rPr>
          <w:rFonts w:cs="Calibri"/>
          <w:sz w:val="21"/>
          <w:szCs w:val="21"/>
        </w:rPr>
        <w:t>transmissions, l’ECE développe aujourd’hui un positionnement structuré sur l’intelligence artificielle, la cybersécurité, les systèmes embarqués et les technologies critiques.</w:t>
      </w:r>
      <w:r w:rsidR="00F46138" w:rsidRPr="00CC1E62">
        <w:rPr>
          <w:rFonts w:cs="Calibri"/>
          <w:sz w:val="21"/>
          <w:szCs w:val="21"/>
        </w:rPr>
        <w:t xml:space="preserve"> </w:t>
      </w:r>
      <w:r w:rsidRPr="00CC1E62">
        <w:rPr>
          <w:rFonts w:cs="Calibri"/>
          <w:sz w:val="21"/>
          <w:szCs w:val="21"/>
        </w:rPr>
        <w:t xml:space="preserve">Son </w:t>
      </w:r>
      <w:hyperlink r:id="rId8" w:history="1">
        <w:r w:rsidRPr="00CC1E62">
          <w:rPr>
            <w:rStyle w:val="Lienhypertexte"/>
            <w:rFonts w:cs="Calibri"/>
            <w:sz w:val="21"/>
            <w:szCs w:val="21"/>
          </w:rPr>
          <w:t>Intelligence Lab</w:t>
        </w:r>
      </w:hyperlink>
      <w:r w:rsidRPr="00CC1E62">
        <w:rPr>
          <w:rFonts w:cs="Calibri"/>
          <w:sz w:val="21"/>
          <w:szCs w:val="21"/>
        </w:rPr>
        <w:t xml:space="preserve">, plateforme dédiée à l’IA </w:t>
      </w:r>
      <w:r w:rsidR="007017D8" w:rsidRPr="00CC1E62">
        <w:rPr>
          <w:rFonts w:cs="Calibri"/>
          <w:sz w:val="21"/>
          <w:szCs w:val="21"/>
        </w:rPr>
        <w:t xml:space="preserve">générative </w:t>
      </w:r>
      <w:r w:rsidRPr="00CC1E62">
        <w:rPr>
          <w:rFonts w:cs="Calibri"/>
          <w:sz w:val="21"/>
          <w:szCs w:val="21"/>
        </w:rPr>
        <w:t>souveraine, permet aux étudiants d’expérimenter des cas d’usage liés aux systèmes critiques, à l’IA embarquée et à la cybersécurité.</w:t>
      </w:r>
    </w:p>
    <w:p w14:paraId="6C17EEB8" w14:textId="66F420DE" w:rsidR="00E127C4" w:rsidRPr="00CC1E62" w:rsidRDefault="00E127C4" w:rsidP="00AB4CE2">
      <w:pPr>
        <w:spacing w:after="0"/>
        <w:jc w:val="both"/>
        <w:rPr>
          <w:rFonts w:cs="Calibri"/>
          <w:sz w:val="21"/>
          <w:szCs w:val="21"/>
        </w:rPr>
      </w:pPr>
      <w:r w:rsidRPr="00CC1E62">
        <w:rPr>
          <w:rFonts w:cs="Calibri"/>
          <w:sz w:val="21"/>
          <w:szCs w:val="21"/>
        </w:rPr>
        <w:t xml:space="preserve">L’école a également lancé une </w:t>
      </w:r>
      <w:hyperlink r:id="rId9" w:history="1">
        <w:r w:rsidRPr="00CC1E62">
          <w:rPr>
            <w:rStyle w:val="Lienhypertexte"/>
            <w:rFonts w:cs="Calibri"/>
            <w:sz w:val="21"/>
            <w:szCs w:val="21"/>
          </w:rPr>
          <w:t>majeure « Défense &amp; Technologie », conçue avec l’Armée de l’Air et de l’Espace</w:t>
        </w:r>
      </w:hyperlink>
      <w:r w:rsidRPr="00CC1E62">
        <w:rPr>
          <w:rFonts w:cs="Calibri"/>
          <w:sz w:val="21"/>
          <w:szCs w:val="21"/>
        </w:rPr>
        <w:t>, et développe plusieurs projets appliqués avec des unités militaires autour des drones, de l’automatisation cyber et des agents conversationnels autonomes en environnement isolé.</w:t>
      </w:r>
      <w:r w:rsidR="00F46138" w:rsidRPr="00CC1E62">
        <w:rPr>
          <w:rFonts w:cs="Calibri"/>
          <w:sz w:val="21"/>
          <w:szCs w:val="21"/>
        </w:rPr>
        <w:t xml:space="preserve"> </w:t>
      </w:r>
      <w:r w:rsidR="00787981" w:rsidRPr="00CC1E62">
        <w:rPr>
          <w:rFonts w:cs="Calibri"/>
          <w:sz w:val="21"/>
          <w:szCs w:val="21"/>
        </w:rPr>
        <w:t>Ces dispositifs permettent aux étudiants de se confronter à des problématiques technologiques appliquées aux enjeux de défense et de souveraineté.</w:t>
      </w:r>
    </w:p>
    <w:p w14:paraId="7C6A17CF" w14:textId="77777777" w:rsidR="00AB4CE2" w:rsidRPr="00952378" w:rsidRDefault="00AB4CE2" w:rsidP="00AB4CE2">
      <w:pPr>
        <w:spacing w:after="0"/>
        <w:jc w:val="both"/>
        <w:rPr>
          <w:rFonts w:cs="Calibri"/>
          <w:sz w:val="8"/>
          <w:szCs w:val="8"/>
        </w:rPr>
      </w:pPr>
    </w:p>
    <w:p w14:paraId="674D3324" w14:textId="165D0684" w:rsidR="00E127C4" w:rsidRPr="00CC1E62" w:rsidRDefault="00E127C4" w:rsidP="00AB4CE2">
      <w:pPr>
        <w:pStyle w:val="Paragraphedeliste"/>
        <w:numPr>
          <w:ilvl w:val="0"/>
          <w:numId w:val="1"/>
        </w:numPr>
        <w:spacing w:after="0"/>
        <w:jc w:val="both"/>
        <w:rPr>
          <w:rFonts w:cs="Calibri"/>
          <w:b/>
          <w:bCs/>
          <w:sz w:val="21"/>
          <w:szCs w:val="21"/>
        </w:rPr>
      </w:pPr>
      <w:hyperlink r:id="rId10" w:history="1">
        <w:r w:rsidRPr="00CC1E62">
          <w:rPr>
            <w:rStyle w:val="Lienhypertexte"/>
            <w:rFonts w:cs="Calibri"/>
            <w:b/>
            <w:bCs/>
            <w:sz w:val="21"/>
            <w:szCs w:val="21"/>
          </w:rPr>
          <w:t>ESCE</w:t>
        </w:r>
      </w:hyperlink>
      <w:r w:rsidR="00CB301E">
        <w:rPr>
          <w:rFonts w:cs="Calibri"/>
          <w:b/>
          <w:bCs/>
          <w:sz w:val="21"/>
          <w:szCs w:val="21"/>
        </w:rPr>
        <w:t xml:space="preserve">, </w:t>
      </w:r>
      <w:hyperlink r:id="rId11" w:history="1">
        <w:r w:rsidRPr="00CC1E62">
          <w:rPr>
            <w:rStyle w:val="Lienhypertexte"/>
            <w:rFonts w:cs="Calibri"/>
            <w:b/>
            <w:bCs/>
            <w:sz w:val="21"/>
            <w:szCs w:val="21"/>
          </w:rPr>
          <w:t>INSEEC</w:t>
        </w:r>
        <w:r w:rsidR="000F2DBE" w:rsidRPr="00CC1E62">
          <w:rPr>
            <w:rStyle w:val="Lienhypertexte"/>
            <w:rFonts w:cs="Calibri"/>
            <w:b/>
            <w:bCs/>
            <w:sz w:val="21"/>
            <w:szCs w:val="21"/>
          </w:rPr>
          <w:t xml:space="preserve"> Grande Ecole</w:t>
        </w:r>
      </w:hyperlink>
      <w:r w:rsidRPr="00CC1E62">
        <w:rPr>
          <w:rFonts w:cs="Calibri"/>
          <w:b/>
          <w:bCs/>
          <w:sz w:val="21"/>
          <w:szCs w:val="21"/>
        </w:rPr>
        <w:t xml:space="preserve"> </w:t>
      </w:r>
      <w:r w:rsidR="00CB301E">
        <w:rPr>
          <w:rFonts w:cs="Calibri"/>
          <w:b/>
          <w:bCs/>
          <w:sz w:val="21"/>
          <w:szCs w:val="21"/>
        </w:rPr>
        <w:t xml:space="preserve">et </w:t>
      </w:r>
      <w:hyperlink r:id="rId12" w:history="1">
        <w:r w:rsidR="00CB301E" w:rsidRPr="00C65BD4">
          <w:rPr>
            <w:rStyle w:val="Lienhypertexte"/>
            <w:rFonts w:cs="Calibri"/>
            <w:b/>
            <w:bCs/>
            <w:sz w:val="21"/>
            <w:szCs w:val="21"/>
          </w:rPr>
          <w:t xml:space="preserve">INSEEC </w:t>
        </w:r>
        <w:proofErr w:type="spellStart"/>
        <w:r w:rsidR="00CB301E" w:rsidRPr="00C65BD4">
          <w:rPr>
            <w:rStyle w:val="Lienhypertexte"/>
            <w:rFonts w:cs="Calibri"/>
            <w:b/>
            <w:bCs/>
            <w:sz w:val="21"/>
            <w:szCs w:val="21"/>
          </w:rPr>
          <w:t>Msc</w:t>
        </w:r>
        <w:proofErr w:type="spellEnd"/>
      </w:hyperlink>
      <w:r w:rsidR="00CB301E">
        <w:rPr>
          <w:rFonts w:cs="Calibri"/>
          <w:b/>
          <w:bCs/>
          <w:sz w:val="21"/>
          <w:szCs w:val="21"/>
        </w:rPr>
        <w:t xml:space="preserve"> </w:t>
      </w:r>
      <w:r w:rsidRPr="00CC1E62">
        <w:rPr>
          <w:rFonts w:cs="Calibri"/>
          <w:b/>
          <w:bCs/>
          <w:sz w:val="21"/>
          <w:szCs w:val="21"/>
        </w:rPr>
        <w:t>: sécuriser les chaînes de valeur stratégiques</w:t>
      </w:r>
    </w:p>
    <w:p w14:paraId="508A348A" w14:textId="1E3A4CEA" w:rsidR="00E127C4" w:rsidRPr="00CC1E62" w:rsidRDefault="00E127C4" w:rsidP="00AB4CE2">
      <w:pPr>
        <w:spacing w:after="0"/>
        <w:jc w:val="both"/>
        <w:rPr>
          <w:rFonts w:cs="Calibri"/>
          <w:sz w:val="21"/>
          <w:szCs w:val="21"/>
        </w:rPr>
      </w:pPr>
      <w:r w:rsidRPr="00CC1E62">
        <w:rPr>
          <w:rFonts w:cs="Calibri"/>
          <w:sz w:val="21"/>
          <w:szCs w:val="21"/>
        </w:rPr>
        <w:t xml:space="preserve">À travers leurs formations en commerce international, </w:t>
      </w:r>
      <w:proofErr w:type="spellStart"/>
      <w:r w:rsidRPr="00CC1E62">
        <w:rPr>
          <w:rFonts w:cs="Calibri"/>
          <w:sz w:val="21"/>
          <w:szCs w:val="21"/>
        </w:rPr>
        <w:t>supply</w:t>
      </w:r>
      <w:proofErr w:type="spellEnd"/>
      <w:r w:rsidRPr="00CC1E62">
        <w:rPr>
          <w:rFonts w:cs="Calibri"/>
          <w:sz w:val="21"/>
          <w:szCs w:val="21"/>
        </w:rPr>
        <w:t xml:space="preserve"> </w:t>
      </w:r>
      <w:proofErr w:type="spellStart"/>
      <w:r w:rsidRPr="00CC1E62">
        <w:rPr>
          <w:rFonts w:cs="Calibri"/>
          <w:sz w:val="21"/>
          <w:szCs w:val="21"/>
        </w:rPr>
        <w:t>chain</w:t>
      </w:r>
      <w:proofErr w:type="spellEnd"/>
      <w:r w:rsidRPr="00CC1E62">
        <w:rPr>
          <w:rFonts w:cs="Calibri"/>
          <w:sz w:val="21"/>
          <w:szCs w:val="21"/>
        </w:rPr>
        <w:t xml:space="preserve"> et management, les écoles </w:t>
      </w:r>
      <w:r w:rsidR="00F46138" w:rsidRPr="00CC1E62">
        <w:rPr>
          <w:rFonts w:cs="Calibri"/>
          <w:sz w:val="21"/>
          <w:szCs w:val="21"/>
        </w:rPr>
        <w:t xml:space="preserve">de commerce </w:t>
      </w:r>
      <w:r w:rsidRPr="00CC1E62">
        <w:rPr>
          <w:rFonts w:cs="Calibri"/>
          <w:sz w:val="21"/>
          <w:szCs w:val="21"/>
        </w:rPr>
        <w:t>du groupe intègrent progressivement les enjeux de sécurisation des flux critiques, de géoéconomie, de conformité et de résilience des chaînes d’approvisionnement.</w:t>
      </w:r>
      <w:r w:rsidR="00F46138" w:rsidRPr="00CC1E62">
        <w:rPr>
          <w:rFonts w:cs="Calibri"/>
          <w:sz w:val="21"/>
          <w:szCs w:val="21"/>
        </w:rPr>
        <w:t xml:space="preserve"> </w:t>
      </w:r>
      <w:r w:rsidRPr="00CC1E62">
        <w:rPr>
          <w:rFonts w:cs="Calibri"/>
          <w:sz w:val="21"/>
          <w:szCs w:val="21"/>
        </w:rPr>
        <w:t>Les étudiants sont ainsi préparés à comprendre les dépendances industrielles et économiques qui structurent aujourd’hui les enjeux de souveraineté</w:t>
      </w:r>
      <w:r w:rsidR="00AB4CE2" w:rsidRPr="00CC1E62">
        <w:rPr>
          <w:rFonts w:cs="Calibri"/>
          <w:sz w:val="21"/>
          <w:szCs w:val="21"/>
        </w:rPr>
        <w:t>.</w:t>
      </w:r>
      <w:r w:rsidR="00AA0256">
        <w:rPr>
          <w:rFonts w:cs="Calibri"/>
          <w:sz w:val="21"/>
          <w:szCs w:val="21"/>
        </w:rPr>
        <w:t xml:space="preserve"> Des </w:t>
      </w:r>
      <w:r w:rsidR="00A12481">
        <w:rPr>
          <w:rFonts w:cs="Calibri"/>
          <w:sz w:val="21"/>
          <w:szCs w:val="21"/>
        </w:rPr>
        <w:t xml:space="preserve">initiatives immersives </w:t>
      </w:r>
      <w:r w:rsidR="00A12481" w:rsidRPr="00A12481">
        <w:rPr>
          <w:rFonts w:cs="Calibri"/>
          <w:sz w:val="21"/>
          <w:szCs w:val="21"/>
        </w:rPr>
        <w:t xml:space="preserve">permettent </w:t>
      </w:r>
      <w:r w:rsidR="00A427E7">
        <w:rPr>
          <w:rFonts w:cs="Calibri"/>
          <w:sz w:val="21"/>
          <w:szCs w:val="21"/>
        </w:rPr>
        <w:t xml:space="preserve">aussi </w:t>
      </w:r>
      <w:r w:rsidR="00A12481" w:rsidRPr="00A12481">
        <w:rPr>
          <w:rFonts w:cs="Calibri"/>
          <w:sz w:val="21"/>
          <w:szCs w:val="21"/>
        </w:rPr>
        <w:t xml:space="preserve">aux étudiants de se découvrir à travers la discipline, la force du collectif et le dépassement de soi, valeurs fondamentales </w:t>
      </w:r>
      <w:r w:rsidR="00952378">
        <w:rPr>
          <w:rFonts w:cs="Calibri"/>
          <w:sz w:val="21"/>
          <w:szCs w:val="21"/>
        </w:rPr>
        <w:t xml:space="preserve">dans le </w:t>
      </w:r>
      <w:r w:rsidR="00A12481" w:rsidRPr="00A12481">
        <w:rPr>
          <w:rFonts w:cs="Calibri"/>
          <w:sz w:val="21"/>
          <w:szCs w:val="21"/>
        </w:rPr>
        <w:t>management professionnel.</w:t>
      </w:r>
    </w:p>
    <w:p w14:paraId="5743EF04" w14:textId="77777777" w:rsidR="00AB4CE2" w:rsidRPr="00952378" w:rsidRDefault="00AB4CE2" w:rsidP="00AB4CE2">
      <w:pPr>
        <w:spacing w:after="0"/>
        <w:jc w:val="both"/>
        <w:rPr>
          <w:rFonts w:cs="Calibri"/>
          <w:sz w:val="10"/>
          <w:szCs w:val="10"/>
        </w:rPr>
      </w:pPr>
    </w:p>
    <w:p w14:paraId="179C6482" w14:textId="682982C1" w:rsidR="00882E3C" w:rsidRPr="00CC1E62" w:rsidRDefault="00882E3C" w:rsidP="00AB4CE2">
      <w:pPr>
        <w:pStyle w:val="Paragraphedeliste"/>
        <w:numPr>
          <w:ilvl w:val="0"/>
          <w:numId w:val="1"/>
        </w:numPr>
        <w:spacing w:after="0"/>
        <w:jc w:val="both"/>
        <w:rPr>
          <w:rFonts w:cs="Calibri"/>
          <w:b/>
          <w:bCs/>
          <w:sz w:val="21"/>
          <w:szCs w:val="21"/>
        </w:rPr>
      </w:pPr>
      <w:hyperlink r:id="rId13" w:history="1">
        <w:r w:rsidRPr="00CC1E62">
          <w:rPr>
            <w:rStyle w:val="Lienhypertexte"/>
            <w:rFonts w:cs="Calibri"/>
            <w:b/>
            <w:bCs/>
            <w:sz w:val="21"/>
            <w:szCs w:val="21"/>
          </w:rPr>
          <w:t>HEIP</w:t>
        </w:r>
      </w:hyperlink>
      <w:r w:rsidRPr="00CC1E62">
        <w:rPr>
          <w:rFonts w:cs="Calibri"/>
          <w:b/>
          <w:bCs/>
          <w:sz w:val="21"/>
          <w:szCs w:val="21"/>
        </w:rPr>
        <w:t>, l’école des sciences politiques et des relations internationales : développer</w:t>
      </w:r>
      <w:r w:rsidR="00E122D3" w:rsidRPr="00CC1E62">
        <w:rPr>
          <w:rFonts w:cs="Calibri"/>
          <w:b/>
          <w:bCs/>
          <w:sz w:val="21"/>
          <w:szCs w:val="21"/>
        </w:rPr>
        <w:t xml:space="preserve"> </w:t>
      </w:r>
      <w:r w:rsidRPr="00CC1E62">
        <w:rPr>
          <w:rFonts w:cs="Calibri"/>
          <w:b/>
          <w:bCs/>
          <w:sz w:val="21"/>
          <w:szCs w:val="21"/>
        </w:rPr>
        <w:t>la capacité de décision</w:t>
      </w:r>
    </w:p>
    <w:p w14:paraId="69EAC785" w14:textId="25C78E4D" w:rsidR="00AB4CE2" w:rsidRPr="00CC1E62" w:rsidRDefault="00882E3C" w:rsidP="00AB4CE2">
      <w:pPr>
        <w:spacing w:after="0"/>
        <w:jc w:val="both"/>
        <w:rPr>
          <w:rFonts w:cs="Calibri"/>
          <w:sz w:val="21"/>
          <w:szCs w:val="21"/>
        </w:rPr>
      </w:pPr>
      <w:r w:rsidRPr="00CC1E62">
        <w:rPr>
          <w:rFonts w:cs="Calibri"/>
          <w:sz w:val="21"/>
          <w:szCs w:val="21"/>
        </w:rPr>
        <w:t>HEIP mobilise depuis plusieurs années une pédagogie immersive</w:t>
      </w:r>
      <w:r w:rsidR="00F10FD4">
        <w:rPr>
          <w:rFonts w:cs="Calibri"/>
          <w:sz w:val="21"/>
          <w:szCs w:val="21"/>
        </w:rPr>
        <w:t xml:space="preserve"> en milieu militaire</w:t>
      </w:r>
      <w:r w:rsidRPr="00CC1E62">
        <w:rPr>
          <w:rFonts w:cs="Calibri"/>
          <w:sz w:val="21"/>
          <w:szCs w:val="21"/>
        </w:rPr>
        <w:t xml:space="preserve"> centrée sur les enjeux de sécurité, de géopolitique et de gestion de crise. Exercices de simulation, ateliers cyberdéfense, scénarios de gestion de crise et collaborations avec des acteurs institutionnels permettent aux étudiants d’expérimenter des situations complexes et de développer leur capacité d’analyse et de décision dans des environnements sous contrainte. Cette approche contribue à sensibiliser les étudiants aux environnements décisionnels complexes liés aux enjeux de sécurité, de défense</w:t>
      </w:r>
      <w:r w:rsidR="00B8719D">
        <w:rPr>
          <w:rFonts w:cs="Calibri"/>
          <w:sz w:val="21"/>
          <w:szCs w:val="21"/>
        </w:rPr>
        <w:t xml:space="preserve">, </w:t>
      </w:r>
      <w:r w:rsidRPr="00CC1E62">
        <w:rPr>
          <w:rFonts w:cs="Calibri"/>
          <w:sz w:val="21"/>
          <w:szCs w:val="21"/>
        </w:rPr>
        <w:t>de</w:t>
      </w:r>
      <w:r w:rsidR="00691BD9">
        <w:rPr>
          <w:rFonts w:cs="Calibri"/>
          <w:sz w:val="21"/>
          <w:szCs w:val="21"/>
        </w:rPr>
        <w:t xml:space="preserve"> </w:t>
      </w:r>
      <w:r w:rsidR="00376F27">
        <w:rPr>
          <w:rFonts w:cs="Calibri"/>
          <w:sz w:val="21"/>
          <w:szCs w:val="21"/>
        </w:rPr>
        <w:t>guerre informationnelle</w:t>
      </w:r>
      <w:r w:rsidR="00691BD9">
        <w:rPr>
          <w:rFonts w:cs="Calibri"/>
          <w:sz w:val="21"/>
          <w:szCs w:val="21"/>
        </w:rPr>
        <w:t xml:space="preserve"> et de gestion de crise</w:t>
      </w:r>
      <w:r w:rsidRPr="00CC1E62">
        <w:rPr>
          <w:rFonts w:cs="Calibri"/>
          <w:sz w:val="21"/>
          <w:szCs w:val="21"/>
        </w:rPr>
        <w:t>.</w:t>
      </w:r>
    </w:p>
    <w:p w14:paraId="27135345" w14:textId="77777777" w:rsidR="00AB4CE2" w:rsidRPr="00481DA1" w:rsidRDefault="00AB4CE2" w:rsidP="00AB4CE2">
      <w:pPr>
        <w:spacing w:after="0"/>
        <w:jc w:val="both"/>
        <w:rPr>
          <w:rFonts w:cs="Calibri"/>
          <w:sz w:val="8"/>
          <w:szCs w:val="8"/>
        </w:rPr>
      </w:pPr>
    </w:p>
    <w:p w14:paraId="4D175E64" w14:textId="77777777" w:rsidR="007E26CE" w:rsidRPr="00481DA1" w:rsidRDefault="007E26CE" w:rsidP="00E127C4">
      <w:pPr>
        <w:jc w:val="both"/>
        <w:rPr>
          <w:b/>
          <w:bCs/>
          <w:color w:val="7675BC"/>
          <w:sz w:val="22"/>
          <w:szCs w:val="22"/>
        </w:rPr>
      </w:pPr>
      <w:r w:rsidRPr="00481DA1">
        <w:rPr>
          <w:b/>
          <w:bCs/>
          <w:color w:val="7675BC"/>
          <w:sz w:val="22"/>
          <w:szCs w:val="22"/>
        </w:rPr>
        <w:t>Une acculturation progressive aux enjeux de défense et de souveraineté à l’échelle des 40 000 étudiants</w:t>
      </w:r>
    </w:p>
    <w:p w14:paraId="3685FAFE" w14:textId="341B78A2" w:rsidR="004D0786" w:rsidRDefault="00F078EF" w:rsidP="00F078EF">
      <w:pPr>
        <w:jc w:val="both"/>
        <w:rPr>
          <w:rFonts w:cs="Calibri"/>
          <w:sz w:val="21"/>
          <w:szCs w:val="21"/>
        </w:rPr>
      </w:pPr>
      <w:r w:rsidRPr="00CC1E62">
        <w:rPr>
          <w:rFonts w:cs="Calibri"/>
          <w:sz w:val="21"/>
          <w:szCs w:val="21"/>
        </w:rPr>
        <w:t>Première étape dans l’engagement du groupe dans cette démarche collective, c</w:t>
      </w:r>
      <w:r w:rsidR="00E127C4" w:rsidRPr="00CC1E62">
        <w:rPr>
          <w:rFonts w:cs="Calibri"/>
          <w:sz w:val="21"/>
          <w:szCs w:val="21"/>
        </w:rPr>
        <w:t xml:space="preserve">ette dynamique s’appuie également sur </w:t>
      </w:r>
      <w:hyperlink r:id="rId14" w:history="1">
        <w:proofErr w:type="spellStart"/>
        <w:r w:rsidR="00E127C4" w:rsidRPr="00CC1E62">
          <w:rPr>
            <w:rStyle w:val="Lienhypertexte"/>
            <w:rFonts w:cs="Calibri"/>
            <w:sz w:val="21"/>
            <w:szCs w:val="21"/>
          </w:rPr>
          <w:t>TechAway</w:t>
        </w:r>
        <w:proofErr w:type="spellEnd"/>
      </w:hyperlink>
      <w:r w:rsidR="00E127C4" w:rsidRPr="00CC1E62">
        <w:rPr>
          <w:rFonts w:cs="Calibri"/>
          <w:sz w:val="21"/>
          <w:szCs w:val="21"/>
        </w:rPr>
        <w:t xml:space="preserve">, dispositif déployé avec </w:t>
      </w:r>
      <w:hyperlink r:id="rId15" w:history="1">
        <w:r w:rsidR="00E127C4" w:rsidRPr="00CC1E62">
          <w:rPr>
            <w:rStyle w:val="Lienhypertexte"/>
            <w:rFonts w:cs="Calibri"/>
            <w:sz w:val="21"/>
            <w:szCs w:val="21"/>
          </w:rPr>
          <w:t>Liora</w:t>
        </w:r>
      </w:hyperlink>
      <w:r w:rsidR="009152E3" w:rsidRPr="00CC1E62">
        <w:rPr>
          <w:rFonts w:cs="Calibri"/>
          <w:sz w:val="21"/>
          <w:szCs w:val="21"/>
        </w:rPr>
        <w:t xml:space="preserve"> (anciennement DataScientest)</w:t>
      </w:r>
      <w:r w:rsidR="00E127C4" w:rsidRPr="00CC1E62">
        <w:rPr>
          <w:rFonts w:cs="Calibri"/>
          <w:sz w:val="21"/>
          <w:szCs w:val="21"/>
        </w:rPr>
        <w:t>, qui forme chaque année l’ensemble des étudiants du groupe aux compétences technologiques essentielles, notamment en cybersécurité.</w:t>
      </w:r>
      <w:r w:rsidR="00F46138" w:rsidRPr="00CC1E62">
        <w:rPr>
          <w:rFonts w:cs="Calibri"/>
          <w:sz w:val="21"/>
          <w:szCs w:val="21"/>
        </w:rPr>
        <w:t xml:space="preserve"> </w:t>
      </w:r>
      <w:r w:rsidR="003F02DC" w:rsidRPr="00CC1E62">
        <w:rPr>
          <w:rFonts w:cs="Calibri"/>
          <w:sz w:val="21"/>
          <w:szCs w:val="21"/>
        </w:rPr>
        <w:t>Il participe à la diffusion d’une culture technologique commune à l’échelle du groupe.</w:t>
      </w:r>
    </w:p>
    <w:p w14:paraId="3F9C602B" w14:textId="77777777" w:rsidR="00CC1E62" w:rsidRDefault="00CC1E62" w:rsidP="00F078EF">
      <w:pPr>
        <w:jc w:val="both"/>
        <w:rPr>
          <w:rFonts w:cs="Calibri"/>
          <w:sz w:val="21"/>
          <w:szCs w:val="21"/>
        </w:rPr>
      </w:pPr>
    </w:p>
    <w:p w14:paraId="770CFB98" w14:textId="256CB798" w:rsidR="00946BA5" w:rsidRPr="00B63336" w:rsidRDefault="00946BA5" w:rsidP="00946BA5">
      <w:pPr>
        <w:spacing w:after="0"/>
        <w:jc w:val="center"/>
        <w:rPr>
          <w:b/>
          <w:bCs/>
          <w:color w:val="7675BB"/>
          <w:sz w:val="18"/>
          <w:szCs w:val="18"/>
        </w:rPr>
      </w:pPr>
      <w:r w:rsidRPr="00B63336">
        <w:rPr>
          <w:b/>
          <w:bCs/>
          <w:color w:val="7675BB"/>
          <w:sz w:val="18"/>
          <w:szCs w:val="18"/>
        </w:rPr>
        <w:t>À propos d’OMNES Education</w:t>
      </w:r>
    </w:p>
    <w:p w14:paraId="481CF9B8" w14:textId="77777777" w:rsidR="00946BA5" w:rsidRDefault="00946BA5" w:rsidP="00946BA5">
      <w:pPr>
        <w:spacing w:after="0" w:line="240" w:lineRule="auto"/>
        <w:ind w:left="-142" w:right="-1"/>
        <w:jc w:val="both"/>
        <w:rPr>
          <w:i/>
          <w:iCs/>
          <w:sz w:val="18"/>
          <w:szCs w:val="18"/>
        </w:rPr>
      </w:pPr>
      <w:r w:rsidRPr="00E67CF7">
        <w:rPr>
          <w:i/>
          <w:iCs/>
          <w:sz w:val="18"/>
          <w:szCs w:val="18"/>
        </w:rPr>
        <w:t xml:space="preserve">Créé en 1975, OMNES Education est un groupe privé d’enseignement supérieur et de recherche pluridisciplinaire en management, sciences de l’ingénieur, communication et sciences politiques. Le groupe, dont le métier est depuis 50 ans d’accompagner les étudiants depuis la formation jusqu’à l’insertion dans l’emploi, place l’étudiant, la qualité de son enseignement multidisciplinaire et son accompagnement vers l’emploi, au cœur de sa stratégie. A ce titre, </w:t>
      </w:r>
      <w:r>
        <w:rPr>
          <w:i/>
          <w:iCs/>
          <w:sz w:val="18"/>
          <w:szCs w:val="18"/>
        </w:rPr>
        <w:t>100 millions d’euros</w:t>
      </w:r>
      <w:r w:rsidRPr="00E67CF7">
        <w:rPr>
          <w:i/>
          <w:iCs/>
          <w:sz w:val="18"/>
          <w:szCs w:val="18"/>
        </w:rPr>
        <w:t xml:space="preserve"> ont été investis en 4 ans pour asseoir une approche pédagogique qui lui est propre, le tout en privilégiant une démarche responsable. Implanté sur 22 campus en France et à l’international (Paris, Lyon, Bordeaux, Chambéry, Beaune, Rennes, Marseille et Toulouse), en Allemagne à Munich, en Espagne (Barcelone, Madrid, Valence et Séville), en Suisse (Genève et Lausanne), à Londres, Monaco et Abidjan, OMNES Education forme chaque année plus de 40 000 étudiants dont 18 000 alternants et 10 000 cadres. Avec ses 15 000 entreprises partenaires et ses 215 000 Alumni, le Groupe offre à ses étudiants une expérience pédagogique avec un objectif clair : développer leur employabilité et construire leurs réussites.</w:t>
      </w:r>
    </w:p>
    <w:p w14:paraId="1AA4D94B" w14:textId="1C64A1D8" w:rsidR="00946BA5" w:rsidRPr="00AA642A" w:rsidRDefault="00946BA5" w:rsidP="00946BA5">
      <w:pPr>
        <w:spacing w:after="0"/>
        <w:jc w:val="center"/>
        <w:rPr>
          <w:sz w:val="18"/>
          <w:szCs w:val="18"/>
          <w:u w:val="single"/>
        </w:rPr>
      </w:pPr>
      <w:r w:rsidRPr="00AA642A">
        <w:rPr>
          <w:sz w:val="18"/>
          <w:szCs w:val="18"/>
          <w:u w:val="single"/>
        </w:rPr>
        <w:t>Contacts presse</w:t>
      </w:r>
      <w:r w:rsidR="005E2C30">
        <w:rPr>
          <w:sz w:val="18"/>
          <w:szCs w:val="18"/>
          <w:u w:val="single"/>
        </w:rPr>
        <w:br/>
      </w:r>
      <w:r w:rsidR="005E2C30" w:rsidRPr="00106C66">
        <w:rPr>
          <w:b/>
          <w:bCs/>
          <w:sz w:val="18"/>
          <w:szCs w:val="18"/>
        </w:rPr>
        <w:t>Agence MadameMonsieur</w:t>
      </w:r>
    </w:p>
    <w:p w14:paraId="4130D6BB" w14:textId="77777777" w:rsidR="00946BA5" w:rsidRPr="00106C66" w:rsidRDefault="00946BA5" w:rsidP="00946BA5">
      <w:pPr>
        <w:spacing w:after="0"/>
        <w:jc w:val="center"/>
        <w:rPr>
          <w:sz w:val="18"/>
          <w:szCs w:val="18"/>
        </w:rPr>
      </w:pPr>
    </w:p>
    <w:p w14:paraId="423723B7" w14:textId="77777777" w:rsidR="003521A0" w:rsidRDefault="003521A0" w:rsidP="00946BA5">
      <w:pPr>
        <w:spacing w:after="0"/>
        <w:jc w:val="center"/>
        <w:rPr>
          <w:b/>
          <w:bCs/>
          <w:color w:val="7675BB"/>
          <w:sz w:val="18"/>
          <w:szCs w:val="18"/>
        </w:rPr>
        <w:sectPr w:rsidR="003521A0">
          <w:headerReference w:type="default" r:id="rId16"/>
          <w:pgSz w:w="11906" w:h="16838"/>
          <w:pgMar w:top="1417" w:right="1417" w:bottom="1417" w:left="1417" w:header="708" w:footer="708" w:gutter="0"/>
          <w:cols w:space="708"/>
          <w:docGrid w:linePitch="360"/>
        </w:sectPr>
      </w:pPr>
    </w:p>
    <w:p w14:paraId="09AA9E87" w14:textId="27027C71" w:rsidR="00946BA5" w:rsidRDefault="00946BA5" w:rsidP="00946BA5">
      <w:pPr>
        <w:spacing w:after="0"/>
        <w:jc w:val="center"/>
      </w:pPr>
      <w:r w:rsidRPr="00E67CF7">
        <w:rPr>
          <w:b/>
          <w:bCs/>
          <w:color w:val="7675BB"/>
          <w:sz w:val="18"/>
          <w:szCs w:val="18"/>
        </w:rPr>
        <w:t>Stéphanie Masson</w:t>
      </w:r>
      <w:r w:rsidRPr="00E67CF7">
        <w:rPr>
          <w:b/>
          <w:bCs/>
          <w:sz w:val="18"/>
          <w:szCs w:val="18"/>
        </w:rPr>
        <w:br/>
      </w:r>
      <w:r w:rsidRPr="00E67CF7">
        <w:rPr>
          <w:sz w:val="18"/>
          <w:szCs w:val="18"/>
        </w:rPr>
        <w:t>06 84 65 17 34</w:t>
      </w:r>
      <w:r w:rsidRPr="00E67CF7">
        <w:rPr>
          <w:sz w:val="18"/>
          <w:szCs w:val="18"/>
        </w:rPr>
        <w:br/>
      </w:r>
      <w:hyperlink r:id="rId17" w:history="1">
        <w:r w:rsidRPr="003521A0">
          <w:rPr>
            <w:rStyle w:val="Lienhypertexte"/>
            <w:sz w:val="14"/>
            <w:szCs w:val="14"/>
          </w:rPr>
          <w:t>smasson@madamemonsieur.agency</w:t>
        </w:r>
      </w:hyperlink>
      <w:r>
        <w:br/>
      </w:r>
    </w:p>
    <w:p w14:paraId="7190454E" w14:textId="5BA189B3" w:rsidR="00946BA5" w:rsidRDefault="00946BA5" w:rsidP="00946BA5">
      <w:pPr>
        <w:spacing w:after="0"/>
        <w:jc w:val="center"/>
        <w:rPr>
          <w:sz w:val="18"/>
          <w:szCs w:val="18"/>
        </w:rPr>
      </w:pPr>
      <w:r w:rsidRPr="00106C66">
        <w:rPr>
          <w:b/>
          <w:bCs/>
          <w:color w:val="7675BB"/>
          <w:sz w:val="18"/>
          <w:szCs w:val="18"/>
        </w:rPr>
        <w:t>Inès de Giacomoni</w:t>
      </w:r>
      <w:r w:rsidRPr="00106C66">
        <w:rPr>
          <w:b/>
          <w:bCs/>
          <w:sz w:val="18"/>
          <w:szCs w:val="18"/>
        </w:rPr>
        <w:br/>
      </w:r>
      <w:r w:rsidRPr="00106C66">
        <w:rPr>
          <w:sz w:val="18"/>
          <w:szCs w:val="18"/>
        </w:rPr>
        <w:t>06 85 81 84 64</w:t>
      </w:r>
      <w:r w:rsidRPr="00106C66">
        <w:rPr>
          <w:sz w:val="18"/>
          <w:szCs w:val="18"/>
        </w:rPr>
        <w:br/>
      </w:r>
      <w:hyperlink r:id="rId18" w:history="1">
        <w:r w:rsidRPr="003521A0">
          <w:rPr>
            <w:rStyle w:val="Lienhypertexte"/>
            <w:sz w:val="14"/>
            <w:szCs w:val="14"/>
          </w:rPr>
          <w:t>idegiacomoni@madamemonsieur.agency</w:t>
        </w:r>
      </w:hyperlink>
      <w:r w:rsidRPr="003521A0">
        <w:rPr>
          <w:sz w:val="14"/>
          <w:szCs w:val="14"/>
        </w:rPr>
        <w:t xml:space="preserve"> </w:t>
      </w:r>
      <w:r>
        <w:rPr>
          <w:sz w:val="18"/>
          <w:szCs w:val="18"/>
        </w:rPr>
        <w:br/>
      </w:r>
    </w:p>
    <w:p w14:paraId="46BFBE3E" w14:textId="47837E89" w:rsidR="00946BA5" w:rsidRPr="00A252AA" w:rsidRDefault="00946BA5" w:rsidP="00946BA5">
      <w:pPr>
        <w:spacing w:after="0"/>
        <w:jc w:val="center"/>
        <w:rPr>
          <w:sz w:val="18"/>
          <w:szCs w:val="18"/>
        </w:rPr>
      </w:pPr>
      <w:r w:rsidRPr="002E0A8D">
        <w:rPr>
          <w:b/>
          <w:bCs/>
          <w:color w:val="7675BB"/>
          <w:sz w:val="18"/>
          <w:szCs w:val="18"/>
        </w:rPr>
        <w:t>Ganesh Pascal</w:t>
      </w:r>
      <w:r w:rsidRPr="00106C66">
        <w:rPr>
          <w:b/>
          <w:bCs/>
          <w:sz w:val="18"/>
          <w:szCs w:val="18"/>
        </w:rPr>
        <w:br/>
      </w:r>
      <w:r w:rsidRPr="002E0A8D">
        <w:rPr>
          <w:sz w:val="18"/>
          <w:szCs w:val="18"/>
        </w:rPr>
        <w:t>06 43 54 97 02</w:t>
      </w:r>
      <w:r w:rsidRPr="00106C66">
        <w:rPr>
          <w:sz w:val="18"/>
          <w:szCs w:val="18"/>
        </w:rPr>
        <w:br/>
      </w:r>
      <w:hyperlink r:id="rId19" w:history="1">
        <w:r w:rsidRPr="003521A0">
          <w:rPr>
            <w:rStyle w:val="Lienhypertexte"/>
            <w:sz w:val="14"/>
            <w:szCs w:val="14"/>
          </w:rPr>
          <w:t>gpascal@madamemonsieur.agency</w:t>
        </w:r>
      </w:hyperlink>
      <w:r w:rsidRPr="003521A0">
        <w:rPr>
          <w:rStyle w:val="Lienhypertexte"/>
          <w:sz w:val="14"/>
          <w:szCs w:val="14"/>
        </w:rPr>
        <w:t xml:space="preserve"> </w:t>
      </w:r>
    </w:p>
    <w:p w14:paraId="5861F4ED" w14:textId="77777777" w:rsidR="003521A0" w:rsidRDefault="003521A0" w:rsidP="00E127C4">
      <w:pPr>
        <w:jc w:val="both"/>
        <w:rPr>
          <w:rFonts w:cs="Calibri"/>
          <w:sz w:val="22"/>
          <w:szCs w:val="22"/>
        </w:rPr>
        <w:sectPr w:rsidR="003521A0" w:rsidSect="003521A0">
          <w:type w:val="continuous"/>
          <w:pgSz w:w="11906" w:h="16838"/>
          <w:pgMar w:top="1417" w:right="1417" w:bottom="1417" w:left="1417" w:header="708" w:footer="708" w:gutter="0"/>
          <w:cols w:num="3" w:space="708"/>
          <w:docGrid w:linePitch="360"/>
        </w:sectPr>
      </w:pPr>
    </w:p>
    <w:p w14:paraId="4CDCC52D" w14:textId="775BFEB7" w:rsidR="007461CF" w:rsidRPr="00E66D07" w:rsidRDefault="007461CF" w:rsidP="00E127C4">
      <w:pPr>
        <w:jc w:val="both"/>
        <w:rPr>
          <w:rFonts w:cs="Calibri"/>
          <w:sz w:val="22"/>
          <w:szCs w:val="22"/>
        </w:rPr>
      </w:pPr>
    </w:p>
    <w:sectPr w:rsidR="007461CF" w:rsidRPr="00E66D07" w:rsidSect="003521A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F952" w14:textId="77777777" w:rsidR="006D4416" w:rsidRDefault="006D4416" w:rsidP="00841127">
      <w:pPr>
        <w:spacing w:after="0" w:line="240" w:lineRule="auto"/>
      </w:pPr>
      <w:r>
        <w:separator/>
      </w:r>
    </w:p>
  </w:endnote>
  <w:endnote w:type="continuationSeparator" w:id="0">
    <w:p w14:paraId="798BA88C" w14:textId="77777777" w:rsidR="006D4416" w:rsidRDefault="006D4416" w:rsidP="0084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A481" w14:textId="77777777" w:rsidR="006D4416" w:rsidRDefault="006D4416" w:rsidP="00841127">
      <w:pPr>
        <w:spacing w:after="0" w:line="240" w:lineRule="auto"/>
      </w:pPr>
      <w:r>
        <w:separator/>
      </w:r>
    </w:p>
  </w:footnote>
  <w:footnote w:type="continuationSeparator" w:id="0">
    <w:p w14:paraId="572E24EF" w14:textId="77777777" w:rsidR="006D4416" w:rsidRDefault="006D4416" w:rsidP="0084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8E51" w14:textId="3ECAB036" w:rsidR="00352114" w:rsidRDefault="00352114" w:rsidP="00352114">
    <w:pPr>
      <w:pStyle w:val="En-tte"/>
      <w:rPr>
        <w:sz w:val="18"/>
        <w:szCs w:val="18"/>
      </w:rPr>
    </w:pPr>
    <w:r>
      <w:rPr>
        <w:noProof/>
      </w:rPr>
      <w:drawing>
        <wp:anchor distT="0" distB="0" distL="114300" distR="114300" simplePos="0" relativeHeight="251660288" behindDoc="0" locked="0" layoutInCell="1" allowOverlap="1" wp14:anchorId="57BAB37C" wp14:editId="52769960">
          <wp:simplePos x="0" y="0"/>
          <wp:positionH relativeFrom="margin">
            <wp:posOffset>3596005</wp:posOffset>
          </wp:positionH>
          <wp:positionV relativeFrom="paragraph">
            <wp:posOffset>-316230</wp:posOffset>
          </wp:positionV>
          <wp:extent cx="981075" cy="715475"/>
          <wp:effectExtent l="0" t="0" r="0" b="8890"/>
          <wp:wrapNone/>
          <wp:docPr id="610814347" name="Image 1" descr="Le Groupe WINFARM : signataire du Manifeste ProMilès - WINFARM | La  Performance Agri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Groupe WINFARM : signataire du Manifeste ProMilès - WINFARM | La  Performance Agrico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1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D71979B" wp14:editId="36120DF7">
          <wp:simplePos x="0" y="0"/>
          <wp:positionH relativeFrom="margin">
            <wp:posOffset>1526540</wp:posOffset>
          </wp:positionH>
          <wp:positionV relativeFrom="margin">
            <wp:posOffset>-624205</wp:posOffset>
          </wp:positionV>
          <wp:extent cx="1736090" cy="451485"/>
          <wp:effectExtent l="0" t="0" r="0" b="5715"/>
          <wp:wrapNone/>
          <wp:docPr id="418127256" name="Image 1" descr="Une image contenant Graphique, symbole, noir,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27256" name="Image 1" descr="Une image contenant Graphique, symbole, noir, cercl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6090" cy="451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BCD" w:rsidRPr="00D673F9">
      <w:rPr>
        <w:b/>
        <w:bCs/>
        <w:sz w:val="18"/>
        <w:szCs w:val="18"/>
      </w:rPr>
      <w:t>COMMUNIQUÉ DE PRESSE</w:t>
    </w:r>
    <w:r w:rsidR="00932BCD">
      <w:rPr>
        <w:sz w:val="18"/>
        <w:szCs w:val="18"/>
      </w:rPr>
      <w:t xml:space="preserve"> </w:t>
    </w:r>
  </w:p>
  <w:p w14:paraId="1A6BCEA7" w14:textId="02A903BC" w:rsidR="00932BCD" w:rsidRDefault="00932BCD" w:rsidP="00352114">
    <w:pPr>
      <w:pStyle w:val="En-tte"/>
    </w:pPr>
    <w:r>
      <w:rPr>
        <w:sz w:val="18"/>
        <w:szCs w:val="18"/>
      </w:rPr>
      <w:t>Paris</w:t>
    </w:r>
    <w:r w:rsidRPr="00D673F9">
      <w:rPr>
        <w:sz w:val="18"/>
        <w:szCs w:val="18"/>
      </w:rPr>
      <w:t xml:space="preserve">, </w:t>
    </w:r>
    <w:r>
      <w:rPr>
        <w:sz w:val="18"/>
        <w:szCs w:val="18"/>
      </w:rPr>
      <w:t>le 2 juin</w:t>
    </w:r>
    <w:r w:rsidRPr="00F178F1">
      <w:rPr>
        <w:sz w:val="18"/>
        <w:szCs w:val="18"/>
      </w:rPr>
      <w:t xml:space="preserve"> 202</w:t>
    </w:r>
    <w:r>
      <w:rPr>
        <w:sz w:val="18"/>
        <w:szCs w:val="18"/>
      </w:rPr>
      <w:t>6</w:t>
    </w:r>
  </w:p>
  <w:p w14:paraId="4312B7AA" w14:textId="6122E0EA" w:rsidR="00841127" w:rsidRDefault="008411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B49E2"/>
    <w:multiLevelType w:val="hybridMultilevel"/>
    <w:tmpl w:val="514A0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EF48C6"/>
    <w:multiLevelType w:val="hybridMultilevel"/>
    <w:tmpl w:val="63DED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0077367">
    <w:abstractNumId w:val="1"/>
  </w:num>
  <w:num w:numId="2" w16cid:durableId="178156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34"/>
    <w:rsid w:val="000026D0"/>
    <w:rsid w:val="000306BD"/>
    <w:rsid w:val="00032892"/>
    <w:rsid w:val="0005206D"/>
    <w:rsid w:val="00084E35"/>
    <w:rsid w:val="000F2DBE"/>
    <w:rsid w:val="0019482C"/>
    <w:rsid w:val="001967E9"/>
    <w:rsid w:val="001C7CCF"/>
    <w:rsid w:val="00235464"/>
    <w:rsid w:val="00284CE9"/>
    <w:rsid w:val="002A1710"/>
    <w:rsid w:val="00352114"/>
    <w:rsid w:val="003521A0"/>
    <w:rsid w:val="00376F27"/>
    <w:rsid w:val="003F02DC"/>
    <w:rsid w:val="00442D37"/>
    <w:rsid w:val="00444D53"/>
    <w:rsid w:val="00475065"/>
    <w:rsid w:val="00481DA1"/>
    <w:rsid w:val="004C7B89"/>
    <w:rsid w:val="004D0786"/>
    <w:rsid w:val="004E25F1"/>
    <w:rsid w:val="00516234"/>
    <w:rsid w:val="00533258"/>
    <w:rsid w:val="005E2C30"/>
    <w:rsid w:val="005F5E75"/>
    <w:rsid w:val="006675C7"/>
    <w:rsid w:val="00691BD9"/>
    <w:rsid w:val="006D4416"/>
    <w:rsid w:val="006F18CF"/>
    <w:rsid w:val="007017D8"/>
    <w:rsid w:val="00725896"/>
    <w:rsid w:val="00726FAC"/>
    <w:rsid w:val="007461CF"/>
    <w:rsid w:val="00787981"/>
    <w:rsid w:val="007B017E"/>
    <w:rsid w:val="007E26CE"/>
    <w:rsid w:val="008078AB"/>
    <w:rsid w:val="00841127"/>
    <w:rsid w:val="00882E3C"/>
    <w:rsid w:val="008D564A"/>
    <w:rsid w:val="00904691"/>
    <w:rsid w:val="009152E3"/>
    <w:rsid w:val="00920EF4"/>
    <w:rsid w:val="00932BCD"/>
    <w:rsid w:val="00934166"/>
    <w:rsid w:val="00946BA5"/>
    <w:rsid w:val="00952378"/>
    <w:rsid w:val="00972250"/>
    <w:rsid w:val="00A12481"/>
    <w:rsid w:val="00A427E7"/>
    <w:rsid w:val="00A763A7"/>
    <w:rsid w:val="00A83F25"/>
    <w:rsid w:val="00AA0256"/>
    <w:rsid w:val="00AB4CE2"/>
    <w:rsid w:val="00B066B1"/>
    <w:rsid w:val="00B217A6"/>
    <w:rsid w:val="00B6334E"/>
    <w:rsid w:val="00B6347E"/>
    <w:rsid w:val="00B8719D"/>
    <w:rsid w:val="00BC17B0"/>
    <w:rsid w:val="00BD3CD6"/>
    <w:rsid w:val="00C249F4"/>
    <w:rsid w:val="00C65BD4"/>
    <w:rsid w:val="00CB301E"/>
    <w:rsid w:val="00CC1E62"/>
    <w:rsid w:val="00D57DF6"/>
    <w:rsid w:val="00D742D4"/>
    <w:rsid w:val="00D8088D"/>
    <w:rsid w:val="00E122D3"/>
    <w:rsid w:val="00E127C4"/>
    <w:rsid w:val="00E344B5"/>
    <w:rsid w:val="00E463E2"/>
    <w:rsid w:val="00E66D07"/>
    <w:rsid w:val="00F078EF"/>
    <w:rsid w:val="00F10FD4"/>
    <w:rsid w:val="00F46138"/>
    <w:rsid w:val="00F46C0F"/>
    <w:rsid w:val="00F516F4"/>
    <w:rsid w:val="00FA4780"/>
    <w:rsid w:val="00FB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2FAE"/>
  <w15:chartTrackingRefBased/>
  <w15:docId w15:val="{781F8CBD-0F70-48C1-91DA-039674BC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6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6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62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62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62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62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62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62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62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62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62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62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62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62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62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62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62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6234"/>
    <w:rPr>
      <w:rFonts w:eastAsiaTheme="majorEastAsia" w:cstheme="majorBidi"/>
      <w:color w:val="272727" w:themeColor="text1" w:themeTint="D8"/>
    </w:rPr>
  </w:style>
  <w:style w:type="paragraph" w:styleId="Titre">
    <w:name w:val="Title"/>
    <w:basedOn w:val="Normal"/>
    <w:next w:val="Normal"/>
    <w:link w:val="TitreCar"/>
    <w:uiPriority w:val="10"/>
    <w:qFormat/>
    <w:rsid w:val="00516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62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62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62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6234"/>
    <w:pPr>
      <w:spacing w:before="160"/>
      <w:jc w:val="center"/>
    </w:pPr>
    <w:rPr>
      <w:i/>
      <w:iCs/>
      <w:color w:val="404040" w:themeColor="text1" w:themeTint="BF"/>
    </w:rPr>
  </w:style>
  <w:style w:type="character" w:customStyle="1" w:styleId="CitationCar">
    <w:name w:val="Citation Car"/>
    <w:basedOn w:val="Policepardfaut"/>
    <w:link w:val="Citation"/>
    <w:uiPriority w:val="29"/>
    <w:rsid w:val="00516234"/>
    <w:rPr>
      <w:i/>
      <w:iCs/>
      <w:color w:val="404040" w:themeColor="text1" w:themeTint="BF"/>
    </w:rPr>
  </w:style>
  <w:style w:type="paragraph" w:styleId="Paragraphedeliste">
    <w:name w:val="List Paragraph"/>
    <w:basedOn w:val="Normal"/>
    <w:uiPriority w:val="34"/>
    <w:qFormat/>
    <w:rsid w:val="00516234"/>
    <w:pPr>
      <w:ind w:left="720"/>
      <w:contextualSpacing/>
    </w:pPr>
  </w:style>
  <w:style w:type="character" w:styleId="Accentuationintense">
    <w:name w:val="Intense Emphasis"/>
    <w:basedOn w:val="Policepardfaut"/>
    <w:uiPriority w:val="21"/>
    <w:qFormat/>
    <w:rsid w:val="00516234"/>
    <w:rPr>
      <w:i/>
      <w:iCs/>
      <w:color w:val="0F4761" w:themeColor="accent1" w:themeShade="BF"/>
    </w:rPr>
  </w:style>
  <w:style w:type="paragraph" w:styleId="Citationintense">
    <w:name w:val="Intense Quote"/>
    <w:basedOn w:val="Normal"/>
    <w:next w:val="Normal"/>
    <w:link w:val="CitationintenseCar"/>
    <w:uiPriority w:val="30"/>
    <w:qFormat/>
    <w:rsid w:val="00516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6234"/>
    <w:rPr>
      <w:i/>
      <w:iCs/>
      <w:color w:val="0F4761" w:themeColor="accent1" w:themeShade="BF"/>
    </w:rPr>
  </w:style>
  <w:style w:type="character" w:styleId="Rfrenceintense">
    <w:name w:val="Intense Reference"/>
    <w:basedOn w:val="Policepardfaut"/>
    <w:uiPriority w:val="32"/>
    <w:qFormat/>
    <w:rsid w:val="00516234"/>
    <w:rPr>
      <w:b/>
      <w:bCs/>
      <w:smallCaps/>
      <w:color w:val="0F4761" w:themeColor="accent1" w:themeShade="BF"/>
      <w:spacing w:val="5"/>
    </w:rPr>
  </w:style>
  <w:style w:type="paragraph" w:styleId="En-tte">
    <w:name w:val="header"/>
    <w:basedOn w:val="Normal"/>
    <w:link w:val="En-tteCar"/>
    <w:uiPriority w:val="99"/>
    <w:unhideWhenUsed/>
    <w:rsid w:val="00841127"/>
    <w:pPr>
      <w:tabs>
        <w:tab w:val="center" w:pos="4536"/>
        <w:tab w:val="right" w:pos="9072"/>
      </w:tabs>
      <w:spacing w:after="0" w:line="240" w:lineRule="auto"/>
    </w:pPr>
  </w:style>
  <w:style w:type="character" w:customStyle="1" w:styleId="En-tteCar">
    <w:name w:val="En-tête Car"/>
    <w:basedOn w:val="Policepardfaut"/>
    <w:link w:val="En-tte"/>
    <w:uiPriority w:val="99"/>
    <w:rsid w:val="00841127"/>
  </w:style>
  <w:style w:type="paragraph" w:styleId="Pieddepage">
    <w:name w:val="footer"/>
    <w:basedOn w:val="Normal"/>
    <w:link w:val="PieddepageCar"/>
    <w:uiPriority w:val="99"/>
    <w:unhideWhenUsed/>
    <w:rsid w:val="008411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127"/>
  </w:style>
  <w:style w:type="character" w:styleId="Lienhypertexte">
    <w:name w:val="Hyperlink"/>
    <w:basedOn w:val="Policepardfaut"/>
    <w:uiPriority w:val="99"/>
    <w:unhideWhenUsed/>
    <w:rsid w:val="00946BA5"/>
    <w:rPr>
      <w:color w:val="467886" w:themeColor="hyperlink"/>
      <w:u w:val="single"/>
    </w:rPr>
  </w:style>
  <w:style w:type="character" w:styleId="Mentionnonrsolue">
    <w:name w:val="Unresolved Mention"/>
    <w:basedOn w:val="Policepardfaut"/>
    <w:uiPriority w:val="99"/>
    <w:semiHidden/>
    <w:unhideWhenUsed/>
    <w:rsid w:val="00D5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e.fr/intelligence-lab/" TargetMode="External"/><Relationship Id="rId13" Type="http://schemas.openxmlformats.org/officeDocument/2006/relationships/hyperlink" Target="https://www.heip.fr/" TargetMode="External"/><Relationship Id="rId18" Type="http://schemas.openxmlformats.org/officeDocument/2006/relationships/hyperlink" Target="mailto:idegiacomoni@madamemonsieur.agen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e.fr/" TargetMode="External"/><Relationship Id="rId12" Type="http://schemas.openxmlformats.org/officeDocument/2006/relationships/hyperlink" Target="https://www.inseec.com/master-of-science/" TargetMode="External"/><Relationship Id="rId17" Type="http://schemas.openxmlformats.org/officeDocument/2006/relationships/hyperlink" Target="mailto:smasson@madamemonsieur.agency"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eec.com/grande-ecole/" TargetMode="External"/><Relationship Id="rId5" Type="http://schemas.openxmlformats.org/officeDocument/2006/relationships/footnotes" Target="footnotes.xml"/><Relationship Id="rId15" Type="http://schemas.openxmlformats.org/officeDocument/2006/relationships/hyperlink" Target="https://liora.io/" TargetMode="External"/><Relationship Id="rId10" Type="http://schemas.openxmlformats.org/officeDocument/2006/relationships/hyperlink" Target="https://www.esce.fr/" TargetMode="External"/><Relationship Id="rId19" Type="http://schemas.openxmlformats.org/officeDocument/2006/relationships/hyperlink" Target="mailto:gpascal@madamemonsieur.agency" TargetMode="External"/><Relationship Id="rId4" Type="http://schemas.openxmlformats.org/officeDocument/2006/relationships/webSettings" Target="webSettings.xml"/><Relationship Id="rId9" Type="http://schemas.openxmlformats.org/officeDocument/2006/relationships/hyperlink" Target="https://www.ece.fr/program/cycle-ingenieur-bac4-majeure-defense-technologie/" TargetMode="External"/><Relationship Id="rId14" Type="http://schemas.openxmlformats.org/officeDocument/2006/relationships/hyperlink" Target="https://www.omneseducation.com/2024/04/23/techaway-un-programme-pedagogique-innovant-pour-former-tous-les-etudiants-aux-competences-tech-avec-datasciente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7642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Masson</dc:creator>
  <cp:keywords/>
  <dc:description/>
  <cp:lastModifiedBy>REPLUMAZ Cécile</cp:lastModifiedBy>
  <cp:revision>2</cp:revision>
  <cp:lastPrinted>2026-05-28T09:52:00Z</cp:lastPrinted>
  <dcterms:created xsi:type="dcterms:W3CDTF">2026-06-01T10:30:00Z</dcterms:created>
  <dcterms:modified xsi:type="dcterms:W3CDTF">2026-06-01T10:30:00Z</dcterms:modified>
</cp:coreProperties>
</file>